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20.04.2022, оставленным без изменения постановлением Девятого арбитражного апелляционного суда от 20.06.2022 и постановлением Арбитражного суда Московского округа от 08.08.2022, заявление кредитора оставлено без рассмотрения. В кассационной жалобе ФИО1 просит об отмене судебных актов, ссылаясь на действие решения суда на момент рассмотрения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обжалование в апелляционном порядке решения суда, на котором основано заявление, означающее невступление решения в законную силу.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