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07.02.2022 требование в размере 841 818 469 рублей 08 копеек включено в третью очередь реестра. Четвертый арбитражный апелляционный суд постановлением от 02.06.2022 отменил определение от 07.02.2022 и признал требование в размере 841 818 469 рублей 08 копеек обоснованным и подлежащим удовлетворению за счет имущества должника, оставшегося после удовлетворения требований кредиторов, включенных в реестр. Арбитражный суд Восточно-Сибирского округа постановлением от 11.08.2022 постановление апелляционного суда от 02.06.2022 оставил без изменения. В кассационной жалобе общество «ПродТрейд» просит об отмене судебных актов апелляционного и окружного судов, ссылаясь на неправомерный отказ в восстановлении срока на подачу заявления о включении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Восстановление срока для включения требования в реестр отнесено к компетенции суда, применение которой не пересматривается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«ПродТрейд»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