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16.03.2022, оставленным без изменения постановлением Второго арбитражного апелляционного суда от 27.05.2022 и постановлением Арбитражного суда Волго-Вятского округа от 14.09.2022, в удовлетворении заявления Соколова Н.М. о вынесении дополнительного решения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решения, поименованных в части 1 статьи 178 Арбитражного процессуального кодекса Российской Федерации, не установлено. Доводы кассационной жалобы не подтверждают нарушения норм права и не составляют оснований для пересмотра обжалуемых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