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ФИО3 (далее – кредитор) обратился в суд с заявлением о включении в реестр требований кредиторов должника 40 000 000 рублей основного долга, 25 000 000 рублей договорных процентов (штрафных санкций), 1 072 083 рублей 33 копеек процентов за пользование чужими денежными средствами по статье 395 Гражданского кодекса Российской Федерации и 60 000 рублей судебных расходов по оплате государственной пошлины. Определением Арбитражного суда Московской области от 29.08.2019, оставленным без изменения постановлениями Десятого арбитражного апелляционного суда от 31.10.2019 и Арбитражного суда Московского округа от 26.02.2020, заявление удовлетворено частично. В кассационной жалобе, поданной в Верховный Суд Российской Федерации, заявитель просит изменить названные судебные акты в части удовлетворения требования о включении в реестр 1 072 083 рублей 33 копеек процентов и принять в данной части новый судебный акт об отказе в удовлетворении названного требования.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395 , 809 , 811 Гражданского кодекса Российской Федерации, пришли к верным выводам о наличии оснований для включения в реестр процентов, начисленных не в соответствии с условиями заключенного с кредитором договора займа, а на сумму установленной вступившим в законную силу судебным актом и непогашенной задолженности, расчёт которых заявителем не оспаривался.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"МОСКОВСКАЯ САМОРЕГУЛИРУЕМАЯ ОРГАНИЗАЦИЯ ПРОФЕССИОНАЛЬНЫХ АРБИТРАЖНЫХ УПРАВЛЯЮЩИХ" (подробнее) ИФНС по г. Солнечногорску МО (подробнее) Судьи дела: Корнелюк Е.С. (судья) (подробнее) Последние документы по делу: Определение от 12 декабря 2022 г. по делу № А41-101236/2018 Определение от 8 июня 2020 г. по делу № А41-101236/2018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