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11.02.2022, оставленным без изменения постановлением Второго арбитражного апелляционного суда от 23.05.2022 и постановлением Арбитражного суда Волго-Вятского округа от 13.09.2022, в удовлетворении заявления Соколова Н.М. об исправлении описки, допущенной в определении Арбитражного суда Костромской области от 19.01.2022,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Изменение существа мотивировочной части определения, требуемое Соколовым Н.М., не укладывается в пределы статьи 179 Арбитражного процессуального кодекса Российской Федерации, поэтому в ее применении к заявленным обстоятельствам отказано.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