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и кассационное производство по кассационной жалобе окончено, оснований для удовлетворения ходатайства о приостановлении исполнения судебного акта не имеется.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строительная фирма «Корт»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