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08.02.2022, оставленным без изменения постановлением Девятого арбитражного апелляционного суда от 18.05.2022 и постановлением Арбитражного суда Московского округа от 17.08.2022, признано недействительным дополнительное соглашение к соглашению о разделе наследственного имущества от 16.04.2015, заключенное должником с Бутошиной Л.И. 14.02.2020, в части передачи в единоличную собственность Бутошиной Л.И. части здания, восстановлено право должника на ½ доли в праве собственности на указанное здание. В кассационной жалобе Бутошина Л.И.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исследованные обстоятельства заключения соглашения создающими условия его недействительности в силу пункта 2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Бутошиной Ларисе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