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Кабардино-Балкарской Республики от 06.03.2022, оставленным без изменения постановлением Шестнадцатого арбитражного апелляционного суда от 18.05.2022 и постановлением Арбитражного суда Северо-Кавказского округа от 09.08.2022, в удовлетворении заявления отказано. В кассационной жалобе ФИО1 просит об отмене судебных актов, ссылаясь на неполное исследование судами обстоятельств спора и нарушения в применении норм материального и процессуального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нарушений, повлиявших на результат торгов и влекущих в силу статей 449 Гражданского кодекса Российской Федерации их недействительность. Осведомленность заинтересованного лица о проведении торгов и принятие в них участия опровергают доводы о нарушении в доведении необходимой информации. Отказ в пересмотре судебных актов исключает приостановление их исполнения, о котором ходатайствует податель жалобы.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приостановлении исполнения судебных актов и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Северо-Кавказского округа (подробнее) АУ Тхагапсоев Ахмед Хасенович (подробнее) ООО КБ "Ренесанс Кредит" (подробнее) ПАО "Сбербанк России" (подробнее) Управление записи актов гражданского состояния КБР (подробнее) УФРС (подробнее) ФНС России (подробнее) ФУ Тхакахов А.А.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