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03.09.2021 частично удовлетворены требования общества с ограниченной ответственностью «КраМЗ–Авто» к конкурсному управляющему Широбокову А.В., признано ненадлежащим исполнением обязанностей конкурсного управляющего действия, выразившиеся в выдаче доверенности на представление его интересов Ходыкину Алексею Владимировичу (представителю основного кредитора должника). В удовлетворении заявления об отстранении от исполнения обязанностей конкурсного управляющего отказано. Постановлением Третьего арбитражного апелляционного суда от 24.11.2021 определение суда первой инстанции от 03.09.2021 отменено, в удовлетворении жалобы общества «КраМЗ–Авто» на действия конкурсного управляющего отказано. Конкурсный управляющий обратился в суд с заявлением о взыскании с общества «КраМЗ–Авто» судебных расходов в размере 160 000 рублей. Определением Арбитражного суда Красноярского края от 05.05.2022 заявление конкурсного управляющего удовлетворено частично, с общества 2 «КраМЗ–Авто» взысканы судебные расходы в сумме 155 000 рублей. В удовлетворении остальной части заявления отказано. Постановлением Третьего арбитражного апелляционного суда от 01.07.2022, определение суда первой инстанции от 05.05.2022 оставлено без изменения. Производство по заявлению конкурсного управляющего о взыскании судебных издержек в сумме 34 000 рублей в связи с рассмотрением настоящего спора в суде апелляционной инстанции прекращено. Постановлением Арбитражного суда Восточно–Сибирского округа от 08.09.2022 постановление апелляционного суда в части прекращения производства по заявлению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прекращения производства по заявлению о взыскании судебных издержек в связи с рассмотрением обособленного спора в суде апелляционной инстанции, дело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 в оспариваемой части, суд апелляционной инстанции, руководствуясь статьёй 150 Арбитражного процессуального кодекса Российской Федерации, статьёй 59 Федерального закона от 26.10.2002 № 127-ФЗ «О несостоятельности (банкротстве)», правовой позицией изложенной в пункте 28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исходил из того, что заявление конкурсного управляющего направлено на возмещение судебных издержек, понесенных им в связи с рассмотрением заявления по вопросу о судебных издержках, в связи с чем оно не подлежит рассмотрению судом. С выводами суда апелляционной инстанции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3 Доводы заявителя основаны на несогласии с принятыми по делу судебными актами, ином толковании норм права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Широбокову Андрею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