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Соловьёв Максим Вячеславович обратился в суд с заявлением о разрешении разногласий, возникших с кредиторами по текущим платежам пятой очереди, путём установления очерёдности удовлетворения требований последних в предложенной им редакции. Определением Арбитражного суда города Москвы от 18.02.2022, оставленным без изменения постановлениями Девятого арбитражного апелляционного суда от 04.05.2022 и Арбитражного суда Московского округа от 01.09.2022,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Исходя из доводов кассационной жалобы, заявитель не согласен с обжалуемыми судебными актами в части не включения в реестр требований кредиторов по текущим платежам пятой очереди суммы долга за июнь 2018 года в размере 1 594 691 рубль.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134 Федерального закона от 26.10.2002 № 127-ФЗ «О несостоятельности (банкротстве)», сопоставив даты последнего дня месяца, за который начислена задолженность за поставленную электроэнергию с датой принятия судом заявления о признании должника банкротом и возбуждения производства по настоящему делу, пришли к выводу о том, данная задолженность носит реестровой характер и не учитывается конкурсным управляющим в реестре требований кредиторов по текущим платежам.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«Ставропольэнергосбыт»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