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прежний конкурсный управляющий Дергунова Надежда Николаевна обратилась в суд с заявлением о признании недействительной сделкой договора от 18.03.2016 № 6 купли-продажи транспортного средства Лада Калина (VIN: XTA219210E0037080), заключенного между должником и Игнатьевым В.К. (далее – покупатель); применении последствий недействительности сделки, распределении судебных расходов. Определением Арбитражного суда Карачаево-Черкесской Республики от 14.12.2021, оставленным без изменения постановлениями Шестнадцатого арбитражного апелляционного суда от 09.03.2022 и Арбитражного суда Северо- Кавказского округа от 03.08.2022, заявленные требования удовлетворены. В кассационной жалобе, поданной в Верховный Суд Российской Федерации, заявитель просит изменить названные судебные акты в части применения последствий недействительности сделки, возвратив в конкурсную массу отчуждённое по ней транспортное средство.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167 Гражданского кодекса Российской Федерации, статьёй 61.6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ввиду объективной невозможности возвращения реализованного должником транспортного средства в конкурсную массу ввиду дальнейшего отчуждения покупателем названного имущества в пользу иного лица, применили последствия недействительности сделки путём взыскания с покупателя его рыночной стоимости.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