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обстоятельства, дали надлежащую оценку доводам сторон. В целом доводы кассационных жалоб направлены на переоценку доказательств и установление иных обстоятельств по делу, отличных от установленных судами, что не входит в полномочия кассационной инстанции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«Макрос-М» и публичному акционерному обществу «Корпорация ВСМПО-АВИСМА»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"Макрос-М" (подробнее) Ответчики: ПАО "КОРПОРАЦИЯ ВСМПО-АВИСМА"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