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 фонда, изложенные в кассационной жалобе, в том числе о неисполнимости оспариваемого предписания, являлись предметом рассмотрения судов и им дана надлежащая правовая оценка.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судебных актов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организации Ставропольского края «Фонд капитального ремонта общего имущества многоквартирных домов»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НЕКОММЕРЧЕСКАЯ ОРГАНИЗАЦИЯ СТАВРОПОЛЬСКОГО КРАЯ "ФОНД КАПИТАЛЬНОГО РЕМОНТА ОБЩЕГО ИМУЩЕСТВА МНОГОКВАРТИРНЫХ ДОМОВ" (подробнее) Ответчики: Управление Ставропольского края-Государственная жилищная инспекция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