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05.12.2022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Уральского округа от 03.06.2022, срок на обжалование которого истек 03.08.2022.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Кроме того, из приведенных норм следует, что для участвовавшего в деле лица пропуск шестимесячного срока со дня вступления в законную силу обжалуемого судебного акта является неустранимым препятствием в реализации права на восстановление пропущенного процессуального срока подачи кассационной жалобы. Аналогичная позиция изложена в пункте 33 постановления Пленума Высшего Арбитражного Суда Российской Федерации от 25.12.2013 № 99 «О процессуальных сроках». Поскольку кассационная жалоба (вместе с ходатайством о восстановлении пропущенного срока) подана обществом за пределами шестимесячного срока со дня вступления в законную силу обжалуемых определения и постановления суда округа, у суда отсутствуют правовые основания для удовлетворения заявленного ходатайства. На основании изложенного, кассационная жалоба подлежит возвращению заявителю на основании пункта 3 части 1 статьи 291.5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«КватроТранс» в удовлетворении ходатайства о восстановлении пропущенного процессуального срока. Кассационную жалобу на решение Арбитражного суда Челябинской области от 24.11.2021, постановление Восемнадцатого арбитражного апелляционного суда от 09.02.2022 и постановление Арбитражного суда Уральского округа от 03.06.2022 по делу № А76-20702/2021 возвратить заявителю. Судья Верховного Суда Российской Федерации М.К. Антонова Суд: Верховный Суд РФ (подробнее) Истцы: ООО "КватраТранс" (подробнее) Ответчики: Инспекция Федеральной налоговой службы по Тракторозаводскому району города Челябинска (подробнее) Иные лица: Арбитражный суд Уральского округа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