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города Москвы обратился ФИО1 с заявлением о включении в реестр требований кредиторов должника. Определением Арбитражного суда города Москвы от 14.03.2022, оставленным без изменения постановлением Девятого арбитражного апелляционного суда от 25.05.2022 и постановлением Арбитражного суда Московского округа от 31.08.2022, ФИО1 отказано во включении в реестр требований кредиторов должника задолженности в размере 4 249 973 рублей по договору займа, подтвержденной распиской. ФИО1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807 , 808 Гражданского кодекса Российской Федерации, статьями 71 , 100 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суды пришли к выводам о нереальности заемных отношений между должником и кредитором, отсутствии надлежащих доказательств фактической выдачи суммы займа и финансовой возможности кредитора, отметив также отсутствие надлежащих доказательств, подтверждающих уступку права требования.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Банк "Развитие-Столица" (подробнее) ИФНС России №29 по г. Москве (подробнее) Иные лица: ПАО "Сбербанк" (подробнее) Т.А. БОРДАЧЕВА (подробнее) Судьи дела: Зарубина Е.Н. (судья) Судебная практика по: Долг по расписке, по договору займа Судебная практика по применению нормы ст. 808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