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со ссылкой на судебную практику,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Иное толкование заявителем кассационной жалобы положений действующего законодательства не означает допущенной при рассмотрении дела судебной ошибки и не является основанием для пересмотра судебных актов в кассационном порядке. Определением Верховного Суда Российской Федерации от 12.10.2022 обществу предоставлена отсрочка по уплате государственной пошлины за подачу кассационной жалобы. С учетом положений статей 33321, 33322 Налогового кодекса Российской Федерации и статей 102 , 110 Арбитражного процессуального кодекса Российской Федерации государственная пошлина подлежит взысканию с заявителя в доход федерального бюджета.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«Торговля, Успех, Займы»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«Торговля, Успех, Займы» в доход федерального бюджета 3 000 (три тысячи) рублей государственной пошлины за подачу кассационной жалобы. Арбитражному суду Самарской области выдать исполнительный лист. Судья Верховного Суда Российской Федерации М.К.Антонова Суд: Верховный Суд РФ (подробнее) Истцы: ООО "Торговля, успех, займы" (подробнее) Ответчики: Управление Федеральной антимонопольной службы Российской Федерации по Самарской области (подробнее) Иные лица: Межрайонная ИФНС России №16 по Краснодарскому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