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Прониной Елены Борисовны в Арбитражный суд Ставропольского края обратилась должник с заявлением, уточненным в порядке статьи 49 Арбитражного процессуального кодекса Российской Федерации, об исключении из конкурсной массы квартиры, расположенной по ул. Партизанская в г. Ставрополе. Определением Арбитражного суда Ставропольского края от 31.03.2022 в удовлетворении заявления отказано. Постановлением Шестнадцатого арбитражного апелляционного суда от 08.06.2022 определение суда первой инстанции оставлено без изменения. Арбитражный суд Северо-Кавказского округа постановлением от 05.09.2022 указанные судебные акты оставил без изменения. Пронина Ю.С.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должника,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правовой позицией Конституционного Суда Российской Федерации, изложенной в постановлении от 26.04.2021 № 15-П, и исходили из того, что выбор должником спорной квартиры в качестве пригодной для проживания нарушает баланс интересов в пользу должника, поскольку реализация данной квартиры позволит удовлетворить значительную часть имущественных требований кредиторов. При этом параметры принадлежащей должнику 1/2 доли в другой квартире соответствуют учетной норме площади жилого помещения в регионе и достаточны для удовлетворения конституционно значимой потребности в жилище как необходимом средстве жизнеобеспечения.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