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04.02.2022, оставленным без изменения постановлением Четырнадцатого арбитражного апелляционного суда от 16.05.2022 и постановлением Арбитражного суда Северо-Западного округа от 18.08.2022,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Тверской области. Изучив изложенные в кассационной жалобе доводы и принятые по делу судебные акты, судья Верховного Суда Российской Федерации приходит 2 к выводу об отсутствии оснований, предусмотренных пунктом 1 части 7 статьи 2916 Арбитражного процессуального кодекса Российской Федерации (далее – АПК РФ),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Исследовав и оценив представленные в материалы дела доказательства по правилам статьи 71 АПК РФ с учетом экспертных заключений, установив, что выявленные недостатки являются дефектами, допущенными ответчиком при выполнении работ по договору подряда, безвозмездного устранения которых истец вправе потребовать в разумный срок, руководствуясь статьями 309, 310, 702, 703, 720, 721, 740, 753 Гражданского кодекса Российской Федерации, суды первой и апелляционной инстанций удовлетворили исковые требования, с чем впоследствии согласился суд округа.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2916 и 2918 АПК РФ,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«Кровтех»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