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Хукеяна Тарона Эдвардовича в Арбитражный суд города Москвы обратился кредитор – ООО «ПромСтройИнвестмент» с заявлением о признании недействительной цепочки сделок по отчуждению 100% доли участия должника в уставном капитале ООО «ЗЕРАВШАН» в пользу Матюшина Василия Александровича и в пользу Аветисяна Саркиса Фрунзеевича и применении последствий недействительности сделок. Определением Арбитражного суда города Москвы от 05.03.2022 заявление удовлетворено; признана недействительной цепочка сделок по отчуждению 100% доли участия должника в уставном капитале ООО «ЗЕРАВШАН», применены последствия недействительности цепочки сделок в виде восстановления права должника на долю в уставном капитале общества в размере 100% номинальной стоимостью 5 510 000 рублей, обязания ООО «ЗЕРАВШАН» возвратить Матюшину В.А. 100 000 рублей, уплаченных в качестве дополнительного вклада в уставной капитал. 2 Постановлением Девятого арбитражного апелляционного суда от 31.05.2022 определение суда первой инстанции оставлено без изменения. Арбитражный суд Московского округа постановлением от 26.09.2022 указанные судебные акты оставил без изменения. Аветисян С.Ф.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168, 170 Гражданского кодекса Российской Федерации, пунктом 2 статьи 61.2 Федерального закона от 26.10.2002 № 127-ФЗ «О несостоятельности (банкротстве)» и исходили из доказанности наличия совокупности условий, необходимой для признания цепочки оспариваемых сделок притворной, прикрывающей вывод ликвидного имущества из конкурсной массы должника. В частности, суды установили, что оспариваемые сделки совершены в пользу аффилированных лиц, при неравноценном встречном исполнении, их целью являлся вывод единственного актива должника из конкурсной массы.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