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реестр требований кредиторов должника (далее – реестр) задолженности в размере 116 608 363 рублей 55 копеек. Определением Арбитражного суда города Москвы от 02.11.2020, оставленным без изменения постановлениями Девятого арбитражного апелляционного суда от 17.12.2020 и Арбитражного суда Московского округа от 10.03.2021, требования признаны обоснованными, но подлежащими удовлетворению за счёт имущества должника, оставшегося после удовлетворения требований его реестровых кредиторов. В кассационной жалобе, поданной в Верховный Суд Российской Федерации, заявитель просит полностью отменить постановления судов апелляционной инстанции и округа, изменить определение суда первой инстанции в части отказа во включении требований в реестр; принять по делу новый судебный акт о включении данных требований в реестр.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статьями 71, 100, 142 Федерального закона от 26.10.2002 № 127-ФЗ «О несостоятельности (банкротстве)», разъяснениями, содержащимися в постановлении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и исходили из того, что исключение спорных требований из первоначального заявления полностью находилось в воле общества, имевшего возможность предоставить суду право самостоятельно квалифицировать их статус, в связи с чем пришли к выводу об отсутствии объективных и уважительных причин для несвоевременного предъявления им своих требований, хоть и являющихся обоснованными, но подлежащими удовлетворению за счёт имущества, оставшегося после удовлетворения требований реестровых кредиторов.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названных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«Аметистовое»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"Аметистовое" (подробнее) ООО "ВЕГА-КАПИТАЛ" (подробнее) ООО "ВСК-Нефтесбыт". (подробнее) ООО "ВСК-Трейд". (подробнее) ООО "ГЕО-Трейдинг" (подробнее) ООО "Скала" (подробнее) ООО "УК УПРАВЛЕНИЕ ИНВЕСТИЦИЯМИ" (подробнее) ООО Энергопрогноз-Камчатка (подробнее) ООО "Юг-Нефтепродукт" (подробнее) ПАО "Сбербанк России" (подробнее) Ответчики: ООО "Таргет Петролеум" (подробнее) Иные лица: ААУ "ГАРАНТИЯ" (подробнее) ГУ МВД РФ по г. Москве (подробнее) Росреестр (подробнее) Росреестр по Московской области (подробнее) ФКУ ГИАЦ МВД России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