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положениями законодательства, 2 регулирующими спорные правоотношения, установив факт выполнения истцом работ, передачи их результата ответчику, отсутствие доказательств направления последним мотивированного отказа от приемки работ, замечаний по их объему и качеству, проверив представленный истцом расчет, не усмотрев оснований для применения статьи 333 Гражданского кодекса Российской Федерации, суды первой и апелляционной инстанций удовлетворили исковые требования, с чем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«Девелопер Билдинг»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