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2 Российской Федерации представленные в материалы дела доказательства, руководствуясь статьями 15, 1064 Гражданского кодекса Российской Федерации, статьями 36, 161 Жилищного кодекса Российской Федерации, исходили из доказанности истцом совокупности условий, необходимых для взыскания с ответчика убытков. Выводы судов подробно мотивированы в обжалуемых судебных актах.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«Комфорт-Сервис»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