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несоответствие выводов судов фактическим обстоятельствам дела, просит пересмотреть в кассационном порядке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правилам статьи 71 Арбитражного процессуального кодекса Российской Федерации представленные в материалы 2 дела доказательства, руководствуясь статьями 196, 199, 200, 309, 310, 450.1, 779, 781, 782 Гражданского кодекса Российской Федерации, суды первой и апелляционной инстанций, с которыми впоследствии согласился суд округа, отказали в удовлетворении иска, исходя из недоказанности предпринимателем наличия на стороне ответчика спорной задолженности и пропуска им срока исковой давности. Выводы судов подробно мотивированы в обжалуемых судебных актах.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Определением Верховного Суда Российской Федерации от 13.10.2022 предпринимателю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Москвы.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Костенко Валентина Андреевича для рассмотрения в судебном заседании Судебной коллегии по экономическим спорам Верховного Суда Российской Федерации. Взыскать с индивидуального предпринимателя Костенко Валентина Андреевича в доход федерального бюджета 3000 (три тысячи) рублей государственной пошлины за подачу кассационной жалобы. Поручить Арбитражному суду города Москвы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