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Иное толкование заявителем жалобы норм материального права не свидетельствует о неправильном применении их судами с учетом установленных обстоятельств дела.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«СтройКомплектСоюз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"ТНС энерго НН" (подробнее) Ответчики: Государственная жилищная инспекция Нижегородской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