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признании недействительным сделками заключенных между должником и ФИО2 (далее – покупатель) соглашения о новации от 14.04.2016 и договора купли-продажи квартиры, расположенной по адресу: &lt;...&gt;; применении последствий недействительности сделок. Определением Арбитражного суда Челябинской области от 19.07.2021, оставленным без изменения постановлениями Восемнадцатого арбитражного апелляционного суда от 14.04.2022 и Арбитражного суда Уральского округа от 08.08.2022,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в ином составе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пунктом 2 статьи 61.2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ввиду установленных обстоятельств реальности возникших между сторонами правоотношений, отсутствия между ними какого-либо противоправного сговора, состоявшейся передачи должнику денежных средств от покупателя и наличия у него для этого финансовой возможности, пришли к выводам о недоказанности совокупности условий для признания недействительными оспариваемых сделок и удовлетворения заявления. Выводы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ответственности ТПК «Уралпромоснастка»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"АВТОМАТИКА ИНЖЕНЕРНЫХ СИСТЕМ" (подробнее) ООО Инжиниринговая компания "Пионер" (подробнее) ООО "СК ВЕК" (подробнее) ООО "Спецтехкомплект" (подробнее) ООО ТПК "УРАЛПРОМОСНАСТКА" (подробнее) Ответчики: ООО "Производственно-коммерческая фирма "Челябинские инженерные системы" (подробнее) ООО "ЮЖУРАЛСАНТЕХМОНТАЖ-2" (подробнее) Иные лица: Арбитражный суд Челябинской области (подробнее) Ассоциация "Саморегулируемая организация арбитражных управляющих "Южный Урал" (подробнее) Инспекция Федеральной налоговой службы по Центральному району г. Челябинска (подробнее) Управление Федеральной налоговой службы по Челябинской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