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решения единственного участника должника Стеканова Юрия Валерьевича от 05.03.2018 о внесении в уставный капитал общества с ограниченной ответственностью «Стройлюкс» имущества должника; применении последствий недействительности сделки. Определением Арбитражного суда Челябинской области от 19.11.2021 заявление удовлетворено. Постановлением Восемнадцатого арбитражного апелляционного суда от 17.06.2022, оставленным без изменения постановлением Арбитражного суда Уральского округа от 07.09.2022,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пунктом 2 статьи 61.2 Федерального закона от 26.10.2002 № 127-ФЗ «О несостоятельности (банкротстве)», пунктами 5 – 7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исходили из недоказанности совокупности условий для признания недействительной оспариваемой сделки по основанию причинения вреда имущественным правам кредиторов. Выводы судов апелляционной инстанции и округа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ограниченной ответственностью Строительной компании «Радуга» Свистунову Антону Юрьевичу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