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трех инстанций норм материального и процессуального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Суды, исследовав и оценив представленные в материалы дела доказательства, руководствуясь статьями 1, 702, 708, 709 Гражданского кодекса Российской Федерации, условиями договора субподряда, установив, 2 что выполнение истцом (субподрядчик) спорных работ технологически обусловлено необходимостью выполнения работ, указанных в смете, данные работы в дальнейшем предъявлены ответчиком (генеральный подрядчик) к приемке заказчику и приняты последним, доказательств выполнения этих работ иным лицом не представлено, пришли к выводу об обоснованности иска в части взыскания задолженности.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«ПГС II»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