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 декабря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Владимирской области от 29.10.2021, оставленным без изменения постановлением Первого арбитражного апелляционного суда от 21.03.2022 и постановлением Арбитражного суда Волго-Вятского округа от 09.08.2022, в удовлетворении заявления отказано. В кассационной жалобе Синица И.В. просит об отмене судебных актов, ссылаясь на неосновательное признание преюдиции и необоснованности мнимости займа.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2 иной экономической деятельности, а также защита охраняемых законом публичных интересов. Таких оснований в связи с доводами жалобы не усматривается. Суды в пределах рассматриваемого спора и спора, рассмотренного судом общей юрисдикции, установили получение займа должником и наличие у кредитора финансовой возможности его предоставления, исключающие в силу статьи 170 Гражданского кодекса Российской Федерации мнимость займа. Доводы, приведенные в кассационной жалобе, являлись предметом рассмотрения судов, получили оценку и не составляют оснований для пересмотра обжалуемых судебных актов в кассационном порядке.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Синице Игорю Викторовичу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