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имуществом должника - ФИО3 обратился в Арбитражный суд Самарской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квартиры от 07.07.2017, заключенного между ФИО2 и ФИО1, и применении последствий недействительности сделки в виде возврата квартиры в собственность ФИО2 Определением Арбитражного суда Самарской области от 09.12.2020 в удовлетворении заявления отказано. Постановлением Одиннадцатого арбитражного апелляционного суда от 18.03.2021определение суда первой инстанции оставлено без изменения. Арбитражный суд Поволжского округа постановлением от 24.06.2021 указанные судебные акты отменил и направил обособленный спор на новое рассмотрение в Арбитражный суд Самарской области. ФИО1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