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Франке В.Н. в Арбитражный суд Московской области обратился кредитор – Харченко Т.Р. с заявлением о признании недействительными сделок по перечислению должником в пользу Франке С.Н. денежных средств в сумме 1 611 000 рублей и 247 000 долларов США и применении последствий недействительности сделок. Определением Арбитражного суда Московской области от 16.06.2021 заявление удовлетворено в части признания недействительными сделок по перечислению денежных средств в сумме 247 000 долларов США и применении последствий недействительности сделок в виде взыскания с Франке С.Н. указанной суммы; в удовлетворении заявления в остальной части отказано. Постановлением Десятого арбитражного апелляционного суда от 17.11.2021 определение суда первой инстанции отменено и в удовлетворении заявления кредитора отказано. Арбитражный суд Московского округа постановлением от 11.08.2022 постановление суда апелляционной инстанции оставил без изменения. Харченко Т.Р. обратился в Судебную коллегию Верховного Суда Российской Федерации с кассационной жалобой на постановления судов 2 апелляционной и кассационной инстанций, ссылаясь на существенные нарушения норм права. Согласно пункту 1 части 7 статьи 291.6 АПК РФ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АПК РФ). Таких оснований для пересмотра обжалуемых судебных актов в кассационном порядке по доводам жалобы не установлено. Разрешая спор, суды апелляционной и кассационной инстанций, учитывая отсутствие доказательств недобросовестности должника, а также доказательств того, что спорные платежи представляют собой вывод активов с целью избежать обращения взыскания на это имущество во вред кредиторам должника, пришли к выводу об отсутствии оснований для квалификации спорных платежей недействительными на основании статьи 61.2 Федерального закона от 26.10.2002 № 127-ФЗ «О несостоятельности (банкротстве)» и статей 10 и 168 Гражданского кодекса Российской Федерации.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