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16.03.2022 требование кредитора в размере 25 860 000 рублей включено в третью очередь реестра. Пятый арбитражный апелляционный суд постановлением от 17.05.2022 отменил определение от 16.03.2022 и отказал в удовлетворении заявления. Арбитражный суд Дальневосточного округа постановлением от 01.08.2022 постановление апелляционного суда от 17.05.2022 оставил без изменения. В кассационной жалобе Цешковский А.М. просит об отмене судебных актов апелляционного и окружного судов,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доказательства наличия заемного обязательства признаны апелляционным судом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 должника.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Цешковскому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