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Изложенные в ходатайстве заявителя доводы обоснованны, в связи с чем ходатайство подлежит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«Партнер» удовлетворить. Срок подачи кассационной жалобы на определение Арбитражного суда Республики Татарстан от 03.06.2021, постановление Одиннадцатого арбитражного апелляционного суда от 16.09.2021 и постановление Арбитражного суда Поволжского округа от 30.12.2021 по делу № А6527733/2019 восстановить. Судья Д.В. Капкаев Суд: Верховный Суд РФ (подробнее) Истцы: ООО "Связьбурмонтаж", г.Тверь (подробнее) Ответчики: ООО "Нефтегазовое монтажное управление", г.Казань (подробнее) Иные лица: Давлиев Булат Ильсурович, д.Тюбяк (подробнее) Некоммерческая организация "Гарантийный фонд Республики Татарстан" (подробнее) ООО "Вектор +", г.Набережные Челны (подробнее) ООО Коммерческий банк экономического развития "Банк Казани", г.Казань (подробнее) ООО "Партнер", г.Казань (подробнее) ООО "Прайм-Проект", г.Москва (подробнее) Управление ЗАГС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