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Самарского Е.А. в Арбитражный суд Республики Татарстан обратился должник с жалобой о признании незаконными действий финансового управляющего Насибуллиной Д.А. по подаче уточнения требований в части замены кредитора в реестре требований кредиторов должника на его правопреемника и ее отстранении от исполнения обязанностей финансового управляющего. Определением Арбитражного суда Республики Татарстан от 04.05.2022, оставленным без изменения постановлением Одиннадцатого арбитражного апелляционного суда от 28.06.2022 и постановлением Арбитражного суда Поволжского округа от 26.09.2022, в удовлетворении жалобы отказано. Должник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жалобы должника, суды руководствовались положениями статей 20.3, 60, 213.9 Федерального закона от 26.10.2002 № 127-ФЗ «О несостоятельности (банкротстве)», признали оспариваемые действия финансового управляющего не противоречащими принципам разумности и добросовестности и пришли к выводам о том, что действия управляющего не привели к нарушению имущественных прав должника и его кредиторов, причинению убытков и отсутствуют основания для отстранения финансового управляющего имуществом должника от исполнения своих обязанностей.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