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27.12.2021, оставленным без изменения постановлением Седьмого арбитражного апелляционного суда от 31.03.2022 и постановлением Арбитражного суда Западно-Сибирского округа от 27.07.2022, процедура реализации имущества гражданина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ненадлежащую оценку поведения должника,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 Банк" (подробнее) АО "Банк Русский Стандарт" (подробнее) Ассоциация "СК СРО ПАУ" (подробнее) ООО КБ "Ренессанс Кредит"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