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обратилась в суд с заявлением о признании недействительными сделок по перечислению с расчётного счёта должника в пользу ФИО2 за период с 17.06.2014 по 20.09.2015 денежных средств в размере 2 197 553 рубля 31 копейка; применении последствий недействительности сделок в виде возврата денежных средств в конкурсную массу должника. Определением Арбитражного суда Воронежской области от 03.04.2019, оставленным без изменения постановлениями Девятнадцатого арбитражного апелляционного суда от 11.06.2019 и Арбитражного суда Центрального округа от 04.09.2019,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 конкурсного управляющего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61.1, 61.2, 61.6, 61.8, 61.9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сделок, часть из которых приходилась на период подозрительности, в пользу заинтересованного лица (руководителя и участника должника), при наличии неисполненных обязательств перед иными лицами с целью причинения вреда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"Восток-Спец-Сервис" (подробнее) ООО "Аракс" (подробнее) ООО "Самсон-опт" (подробнее) Союз "СОАУ "Альянс" (подробнее) Ответчики: ООО "Триумф" (подробнее) Иные лица: УФНС России по ВО (подробнее) Федеральная налоговая служба (подробнее) ФНС России Инспекция по Ленинскому району г. Воронежа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