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Тверской области от 10.03.2022, оставленным без изменения постановлением Четырнадцатого арбитражного апелляционного суда от 16.06.2022 и постановлением Арбитражного суда Северо-Западного округа от 07.09.2022, процедура реализации имущества гражданина завершена, должник освобожден от дальнейшего исполнения требований кредиторов. В кассационной жалобе общество просит об отмене судебных актов, ссылаясь на ненадлежащую оценку поведения должника, преждевременное завершение процедуры банкротства.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Суды, установив отсутствие у должника имущества для удовлетворения требований кредиторов и недобросовестных действий должника до и во время проведения процедур банкротства, признали условия для завершения процедур и применения правил пункта 3 статьи 213.28 Федерального закона от 26.10.2002 № 127-ФЗ «О несостоятельности (банкротстве)» для освобождения от исполнения обязательств. Приведенные в жалобе доводы исследованы и учтены судами при принятии судебных актов и не составляют оснований для их кассационного пересмотра.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«Финансовая Грамотность»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