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20.12.2021 заявление удовлетворено: признаны незаконными действия финансового управляющего по размещению информации о проведении торгов по продаже имущества должника, признаны недействительными результаты торгов в отношении нежилого помещения, автомобилей, применены последствия признания торгов недействительными в виде признания недействительными договоров купли-продажи, заключенных между управляющим и покупателями. Седьмой арбитражный апелляционный суд постановлением от 21.04.2022 изменил определение от 20.12.2021, исключив из резолютивной части указание на признание незаконным действия управляющего по размещению информации о проведении торгов по продаже имущества должника. Арбитражный суд Западно-Сибирского округа постановлением от 29.07.2022 постановление апелляционного суда от 21.04.2022 оставил без изменения. 2 В кассационной жалобе Татару Д.Е. просит об отмене судебных актов, ссылаясь на отсутствие относимых и допустимых доказательств влияния доведенной до участников информации на результат торгов.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влияние размещения управляющим некорректной информации о продаже имущества должника на количество потенциальных покупателей и формирование цены в качестве условий для недействительности торгов в силу статьи 449 Гражданского кодекса Российской Федерации. Иная оценка управляющим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Татару Д.Е.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