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Налогового кодекса Российской Федерации.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2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Так, к документам, устанавливающим имущественное положение,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открыты, включая счета филиалов и представительств юридического лица - заинтересованной стороны;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чем, ходатайство об отсрочке уплаты государственной пошлины подлежит удовлетворению. Учитывая изложенное и руководствуясь статьями 102, 184, 2913 Арбитражного процессуального кодекса Российской Федерации, статьями 333.21, 333.22,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«Строительное проектирование» удовлетворить, предоставить отсрочку уплаты государственной пошлины в размере 3000 (трех тысяч) рублей на срок до окончания производства по кассационной жалобе.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