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11.02.2022, оставленным без изменения постановлением Второго арбитражного апелляционного суда от 18.05.2022 и постановлением Арбитражного суда Волго-Вятского округа от 05.09.2022,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