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24.11.2022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2 Оценив приведенные заявителем причины пропуска процессуального срока, суд не признает их уважительными. Заявитель знал о состоявшихся судебных актах и, намереваясь обжаловать постановление суда кассационной инстанции, имел реальную возможность в предусмотренный законодательством срок принять своевременные меры, необходимые для подготовки и подачи кассационной жалобы. При этом процессуальный закон не содержит критерия значительности пропуска срока, подлежащего обсуждению при решении вопроса об уважительности причин пропуска срока для обжалования. В силу части 2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Произвольное восстановление процессуального срока на обжалование судебного акта нарушало бы принцип равноправия сторон, установленный статьей 8 Арбитражного процессуального кодекса Российской Федерации. В силу пункта 3 части 1 статьи 2915 Кодекса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Руководствуясь статьями 117, 184,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«Сибтек» о восстановлении пропущенного срока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