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05.03.2022, оставленным без изменения постановлением Девятого арбитражного апелляционного суда от 20.05.2022 и постановлением Арбитражного суда Московского округа от 30.08.2022, процедура реализации имущества должника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«Россельхозбанк»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