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16.03.2022, оставленным без изменения постановлением Второго арбитражного апелляционного суда от 20.05.2022 и постановлением Арбитражного суда Волго-Вятского округа от 07.09.2022, в удовлетворении заявления Соколова Н.М. о вынесении дополнительного решения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решения, поименованных в части 1 статьи 178 Арбитражного процессуального кодекса Российской Федерации, не установлено. Доводы кассационной жалобы не создают оснований для пересмотра обжалуемых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