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24.11.2022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не признает их уважительными. Заявитель знал о состоявшихся судебных актах и, намереваясь обжаловать постановление суда кассационной инстанции, имел реальную возможность в предусмотренный законодательством срок принять своевременные меры, необходимые для подготовки и подачи кассационной жалобы. При этом процессуальный закон не содержит критерия значительности пропуска срока, подлежащего обсуждению при решении вопроса об уважительности причин пропуска срока для обжалования.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«Сибтек»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"СибТЕК" (подробнее) Ответчики: Инспекция Федеральной налоговой службы №29 по г. Москве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