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 декабря 2022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ФИО1 в Арбитражный суд Ростовской области обратилась НКО «Гарантийный фонд Ростовской области» с заявлением о разрешении разногласий по условиям Положения о реализации имущества должника, находящегося в залоге у ПАО «Банк ВТБ» и Фонда, по вопросам распределения денежных средств, полученных от реализации заложенного имущества, и порядка оставления залоговым кредитором имущества за собой. Определением Арбитражного суда Ростовской области от 04.03.2022, оставленным без изменения постановлением Пятнадцатого арбитражного апелляционного суда от 29.04.2022 и постановлением Арбитражного суда Северо-Кавказского округа от 19.08.2022, разрешены разногласия. Банк ВТБ (ПАО) обратился в Судебную коллегию Верховного Суда Российской Федерации с кассационной жалобой на принятые по обособленному спору судебные акты,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суды руководствовались статьями 60, 61.3 , 134 , 213.9 , 213.25 , 213.26 Федерального закона «О несостоятельности (банкротстве)», статьями 309.1 , 335.1 , 363 , 365 , 384 , 387 Гражданского кодекса Российской Федерации и исходили из того, что фонд и банк являются созалогодержателями, имеющими равные права на удовлетворение своих требований из стоимости заложенного имущества.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 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 Суд: Верховный Суд РФ (подробнее) Истцы: Департамент имущественно-земельных отношений города Ростова-на-Дону (подробнее) Некоммерческая организация "Гарантийный фонд Ростовской области" (подробнее) ООО "Водные ресурсы" (подробнее) ООО "Компания СИМ-Авто" (подробнее) ООО "ПРОИЗВОДСТВЕННО-КОММЕРЧЕСКАЯ ФИРМА "ДОНМЕТАЛЛ-2000" (подробнее) ООО "Титан" (подробнее) ПАО Банк ВТБ (подробнее) Ответчики: ООО "РОСТОВИНВЕСТСТРОЙ" (подробнее) ООО "Светпромгаз" (подробнее) ООО "ТОРГОВЫЙ ДОНМЕТАЛЛ" (подробнее) Иные лица: МИФНС №24 по Ростовской области (подробнее) МИФНС России №12 по Ростовской области (подробнее) НКО "Гарантийный фонд РО" (подробнее) ПЯТНАДЦАТЫЙ АРБИТРАЖНЫЙ АПЕЛЛЯЦИОННЫЙ СУД (подробнее) Судьи дела: Зарубина Е.Н. (судья) Судебная практика по: Поручительство Судебная практика по применению норм ст. 361, 363, 367 ГК РФ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