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«КТК Групп» обратилось в Арбитражный суд Кемеровской области с иском о взыскании с ООО «Строймеханизация» 900 000 рублей предоплаты, 4 680 000 рублей стоимости простоя. ООО «Строймеханизация» обратилось с встречным иском о взыскании с ООО «КТК Групп» 301 178 рублей 68 копеек задолженности. Решением Арбитражного суда Кемеровской области от 28.02.2022, оставленным без изменения постановлением Седьмого арбитражного апелляционного суда от 13.05.2022 и постановлением Арбитражного суда Западно-Сибирского округа от 05.08.2022, первоначальный иск удовлетворен в части взыскания с ООО «Строймеханизация» в пользу ООО «КТК Групп» 1 800 000 рублей штрафа; в удовлетворении первоначального иска в остальной части отказано; встречный иск удовлетворен в полном объеме; в результате зачета с ООО «Строймеханизация» в пользу ООО «КТК Групп» взыскано 1 498 821 рубль 32 копейки. 2 ООО «КТК 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311, 450, 450.1, 453, 784, 785, 791, 792, 793 Гражданского кодекса Российской Федерации, статьей 34 Устава автомобильных дорог, пунктом 4 постановления Пленума Высшего Арбитражного Суда Российской Федерации от 06.06.2014 № 35 «О последствиях расторжения договора», пунктом 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пунктами 19, 24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учитывая, что ООО «КТК Групп» приняло исполнение обязательства по частям, суды пришли к выводу об отсутствии оснований для взыскания суммы предварительной оплаты, взыскали вместо неустойки за простой штраф за просрочку доставки груза, рассчитанный в пределах суммы провозной платы, а также удовлетворили встречный иск, взыскав разницу между стоимостью фактически оказанных услуг и внесенной предварительной оплатой.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