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Иное толкование заявителями жалоб норм материального права не свидетельствует о неправильном применении их судом с учетом установленных обстоятельств дела. Оснований, по которым можно не согласиться с выводами суда округа о направлении дела на новое рассмотрение в арбитражный суд первой инстанции, не усматривается. Обжалуемое постановление принято в пределах полномочий, 2 предоставленных суду кассационной инстанции (статьи 286, 287 Арбитражного процессуального кодекса Российской Федерации).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бюджетному учреждению здравоохранения Омской области «Медико-санитарная часть № 4» и Министерству здравоохранения Омской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