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фактических обстоятельств дела, направленная на их повторное исследование, не означают 2 допущенной при рассмотрении дела судебной ошибки.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«Рекламное агентство «Апрель»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