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Как установлено судами, ходатайствуя об уточнении иска, истец просил суд изменить и предмет, и основание заявленных требований, что в соответствии со статьей 49 Арбитражного процессуального кодекса Российской Федерации недопустимо. Суды также отметили, что истец не лишен возможности обратиться в суд с самостоятельным иском о взыскании убытков на основании статьи 15 Гражданского кодекса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«Уралмостострой»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"Уралмостострой" (подробнее) Ответчики: Управление по строительству, ремонту дорог и искусственных сооружений Администрации городского округа город Уфа Республики Башкортостан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