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16.03.2022, оставленным без изменения постановлением Седьмого арбитражного апелляционного суда от 20.05.2022 и постановлением Арбитражного суда Западно-Сибирского округа от 08.08.2022, завершена процедура реализации имущества гражданина ФИО1, с применением к должнику правила об освобождении от дальнейшего исполнения требований кредиторов, предусмотренных абзацем первым пункта 3 статьи 213.28 Федерального закона «О несостоятельности (банкротстве)», за исключением обязательств, возникших перед ФИО2, ООО «Пром-Торг», ФНС России, КПКГ «Дружба», установленных определениями суда. Должник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вышеназванными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Коммерческий Банк "Инвестрастбанк" (подробнее) КПКГ "Дружба" (подробнее) Кредитный граждан "Дружба" (подробнее) кредитный граждан "Предприниматель" (подробнее) ООО "ПРОМ-ТОРГ" (подробнее) ПАО "Совкомбанк"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ИФНС №2 по Кемеровской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