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Межрайонная инспекция Федеральной налоговой службы России № 19 по Московской области (далее – уполномоченный орган) обратилась в суд с заявлением о включении в реестр требований кредиторов должника (далее – реестр) задолженности в общем размере 398 843 рублей 15 копеек. Определением Арбитражного суда Московской области от 09.02.2022, оставленным без изменения постановление Десятого арбитражного апелляционного суда от 19.04.2022, в удовлетворении заявления отказано. Постановлением Арбитражного суда Московского округа от 08.08.2022 данные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71, 100 Федерального закона от 26.10.2002 № 127-ФЗ «О несостоятельности (банкротстве)», пунктом 10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исходил из необходимости установления имеющих существенное значение обстоятельств, оценки приводимых участвующими в деле лицами доводов и возражений на них, исследования доказательств, а также совершения иных процессуальных действий.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уполномоченного органа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кредитным потребительским кооперативов «Поддержка» Кувыкину Игорю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